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16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PT Astra Serif" w:cs="PT Astra Serif" w:ascii="PT Astra Serif" w:hAnsi="PT Astra Serif"/>
          <w:b/>
          <w:bCs/>
          <w:color w:val="auto"/>
          <w:kern w:val="2"/>
          <w:sz w:val="28"/>
          <w:szCs w:val="28"/>
          <w:lang w:val="ru-RU" w:eastAsia="zh-CN" w:bidi="hi-IN"/>
        </w:rPr>
        <w:t>О внесении изменения в постановление Правительства Ульяновской области от 19.12.2022 № 773-П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ок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тябр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PT Astra Serif" w:cs="PT Astra Serif" w:ascii="PT Astra Serif" w:hAnsi="PT Astra Serif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О внесении изменения в постановление Правительства Ульяновской области от 19.12.2022 № 773-П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val="ru-RU" w:eastAsia="ar-SA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лицензирования, пищевой</w:t>
        <w:br/>
        <w:t xml:space="preserve">и перерабатывающей промышленности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Проект разработан в соответствии со статьёй 19 Федерального закона  Российской Федерации от 28.12.2009 № 381-ФЗ «Об основах государственного регулирования торговой деятельности в Российской Федерации» и со статьёй 1 постановлением Правительства Российской Федерации от 05.05.2023 № 704 «О</w:t>
      </w:r>
      <w:r>
        <w:rPr>
          <w:rFonts w:eastAsia="" w:cs="PT Astra Serif" w:ascii="PT Astra Serif" w:hAnsi="PT Astra Serif" w:eastAsiaTheme="minorHAnsi"/>
          <w:b w:val="false"/>
          <w:bCs/>
          <w:color w:val="00000A"/>
          <w:kern w:val="0"/>
          <w:sz w:val="28"/>
          <w:szCs w:val="28"/>
          <w:lang w:val="ru-RU" w:eastAsia="en-US" w:bidi="ar-SA"/>
        </w:rPr>
        <w:t>б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утратившими силу некоторых актов Правительства Российской Федерации» </w:t>
      </w:r>
      <w:r>
        <w:rPr>
          <w:rFonts w:eastAsia="" w:cs="PT Astra Serif" w:ascii="PT Astra Serif" w:hAnsi="PT Astra Serif" w:eastAsiaTheme="minorHAnsi"/>
          <w:b w:val="false"/>
          <w:bCs w:val="false"/>
          <w:sz w:val="28"/>
          <w:szCs w:val="28"/>
          <w:lang w:eastAsia="en-US"/>
        </w:rPr>
        <w:t xml:space="preserve"> 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val="ru-RU" w:eastAsia="ar-SA"/>
        </w:rPr>
        <w:t xml:space="preserve">в 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val="ru-RU" w:eastAsia="ar-SA" w:bidi="ar-SA"/>
        </w:rPr>
        <w:t>связи</w:t>
        <w:br/>
      </w:r>
      <w:r>
        <w:rPr>
          <w:rFonts w:eastAsia="PT Astra Serif"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val="ru-RU" w:eastAsia="ar-SA"/>
        </w:rPr>
        <w:t xml:space="preserve">с обращением Ульяновского регионального отделения «ОПОРА РОССИИ». 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val="ru-RU" w:eastAsia="ar-SA"/>
        </w:rPr>
        <w:t xml:space="preserve">Проект 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предусматривает установление нормативов обеспеченности населения площадью стационарных и нестационарных торговых объектов, а также установление нормативов минимальной обеспеченности населения площадью торговых мест, используемых для осуществления деятельности по продаже товаров на ярмарках и розничных рынках.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Application>LibreOffice/6.4.7.2$Linux_X86_64 LibreOffice_project/40$Build-2</Application>
  <Pages>1</Pages>
  <Words>268</Words>
  <Characters>2162</Characters>
  <CharactersWithSpaces>2461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2023-06-22T10:04:53Z</cp:lastPrinted>
  <dcterms:modified xsi:type="dcterms:W3CDTF">2023-10-16T12:13:45Z</dcterms:modified>
  <cp:revision>85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